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УТВЕРЖДАЮ</w:t>
      </w:r>
    </w:p>
    <w:p>
      <w:pPr>
        <w:pStyle w:val="Western"/>
        <w:spacing w:lineRule="atLeast" w:line="238" w:before="100" w:after="0"/>
        <w:ind w:left="5103" w:hanging="0"/>
        <w:rPr/>
      </w:pPr>
      <w:r>
        <w:rPr/>
      </w:r>
    </w:p>
    <w:p>
      <w:pPr>
        <w:pStyle w:val="Western"/>
        <w:spacing w:lineRule="exact" w:line="240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и молодёжной политики </w:t>
      </w:r>
    </w:p>
    <w:p>
      <w:pPr>
        <w:pStyle w:val="Western"/>
        <w:spacing w:lineRule="exact" w:line="240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>
      <w:pPr>
        <w:pStyle w:val="Western"/>
        <w:spacing w:lineRule="exact" w:line="240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_______________ Е.А.Тумоян</w:t>
      </w:r>
    </w:p>
    <w:p>
      <w:pPr>
        <w:pStyle w:val="Western"/>
        <w:spacing w:lineRule="atLeast" w:line="238" w:before="100" w:after="0"/>
        <w:ind w:left="5103" w:hanging="0"/>
        <w:rPr/>
      </w:pPr>
      <w:r>
        <w:rPr>
          <w:sz w:val="28"/>
          <w:szCs w:val="28"/>
        </w:rPr>
        <w:t>«       »                   2021 г.</w:t>
      </w:r>
    </w:p>
    <w:p>
      <w:pPr>
        <w:pStyle w:val="Western"/>
        <w:spacing w:lineRule="auto" w:line="240" w:before="100" w:after="0"/>
        <w:rPr/>
      </w:pPr>
      <w:r>
        <w:rPr/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Отчет № 3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плановой проверки в целях осуществления 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ведомственного контроля в сфере закупок товаров, работ, услуг  </w:t>
      </w:r>
    </w:p>
    <w:p>
      <w:pPr>
        <w:pStyle w:val="Normal"/>
        <w:spacing w:lineRule="exact" w:line="240"/>
        <w:ind w:firstLine="42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бюджетного дошкольного образовательного учреждения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«Детский сад № 16 «Одуванчик» станицы Александрийской»</w:t>
      </w:r>
    </w:p>
    <w:p>
      <w:pPr>
        <w:pStyle w:val="Normal"/>
        <w:ind w:left="360"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г. Георгиевск                                                                                  «20» мая 2021 г.</w:t>
      </w:r>
    </w:p>
    <w:p>
      <w:pPr>
        <w:pStyle w:val="FR1"/>
        <w:spacing w:lineRule="auto" w:line="240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статьи 100 Федерального закона от 05 апреля 2013 г.     № 44-ФЗ «О контрактной системе в сфере закупок товаров, работ, услуг для обеспечения государственных и муниципальных нужд» (далее - Закон № 44-ФЗ), руководствуясь постановлением администрации Георгиевского городского округа Ставропольского края от 19 ноября 2019 г. № 3736 «Об утверждении Порядка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края»</w:t>
      </w:r>
      <w:r>
        <w:rPr>
          <w:szCs w:val="28"/>
        </w:rPr>
        <w:t xml:space="preserve"> </w:t>
      </w:r>
      <w:r>
        <w:rPr>
          <w:sz w:val="28"/>
          <w:szCs w:val="28"/>
        </w:rPr>
        <w:t>(далее – Порядок осуществления ведомственного контроля),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приказом управления образования и молодёжной политики администрации Георгиевского городского округа Ставропольского края от 22 декабря 2020 г. № 2223 «Об утверждении плана    проведения проверок в целях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 в 2021 году», </w:t>
      </w:r>
      <w:r>
        <w:rPr>
          <w:spacing w:val="-8"/>
          <w:sz w:val="28"/>
          <w:szCs w:val="28"/>
        </w:rPr>
        <w:t>приказом управления образования и молодёжной политики</w:t>
      </w:r>
      <w:r>
        <w:rPr>
          <w:sz w:val="28"/>
          <w:szCs w:val="28"/>
        </w:rPr>
        <w:t xml:space="preserve"> администрации Георгиевского городского округа Ставропольского края от 19 апреля 2021 г. № 1218 «О проведении плановой проверки в целях осуществления ведомственного контроля в сфере закупок товаров, работ, услуг» муниципального бюджетного  дошкольного образовательного учреждения «Детский сад № 16 «Одуванчик» станицы Александрийской», проведена плановая проверка в целях осуществления ведомственного контроля в сфере закупок товаров, работ, услуг муниципального бюджетного дошкольного образовательного учреждения «Детский сад № 16 «Одуванчик» станицы Александрийской» (далее – Субъект проверки, Учреждение, Заказчик).</w:t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была проведена заместителем начальника управления образования и молодёжной политики администрации Георгиевского городского округа Ставропольского края Захаровой Натальей Геннадьевной.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Российской Федерации в сфере закупок.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 плановой проверки: камеральная.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плановой проверки: соблюдение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начала проверки: 22.04.2021.</w:t>
      </w:r>
    </w:p>
    <w:p>
      <w:pPr>
        <w:pStyle w:val="Normal"/>
        <w:overflowPunct w:val="false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окончания проверки: 15.05.2021.</w:t>
      </w:r>
    </w:p>
    <w:p>
      <w:pPr>
        <w:pStyle w:val="Normal"/>
        <w:overflowPunct w:val="false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Проверяемый период: с 01.01.2020 по 31.03.2021.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100" w:after="0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Данные о Субъекте проверки:</w:t>
      </w:r>
    </w:p>
    <w:p>
      <w:pPr>
        <w:pStyle w:val="FR1"/>
        <w:spacing w:lineRule="auto" w:line="240" w:before="0" w:after="0"/>
        <w:ind w:firstLine="426"/>
        <w:jc w:val="both"/>
        <w:rPr>
          <w:color w:val="000000"/>
          <w:sz w:val="20"/>
          <w:szCs w:val="28"/>
        </w:rPr>
      </w:pPr>
      <w:r>
        <w:rPr>
          <w:color w:val="000000"/>
          <w:sz w:val="20"/>
          <w:szCs w:val="28"/>
        </w:rPr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Полное наименование - муниципальное бюджетное дошкольное образовательное учреждение «Детский сад № 16 «Одуванчик» станицы Александрийской».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Сокращенное наименование – МБДОУ «Детский сад № 16 «Одуванчик» ст. Александрийской».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Организационно-правовая форма – муниципальное бюджетное учреждение.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Местонахождение (юридический, фактический адрес) учреждения: 357841,</w:t>
      </w:r>
      <w:r>
        <w:rPr>
          <w:rFonts w:eastAsia="Calibri"/>
          <w:szCs w:val="28"/>
        </w:rPr>
        <w:t xml:space="preserve"> Ставропольский край, Георгиевский район, станица Александрийская, ул. Гагарина, 310.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принято на учет в ИНФС по г. Георгиевску Ставропольского края 19.05.2004 г., присвоены ИИН 2625030348, КПП 262501001.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внесено в единый государственный реестр юридических лиц за основным государственным регистрационным номером 1042600064210.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Учреждению присвоена следующая идентификация его деятельности по общероссийским классификаторам: ОКАТО – 07215802001, ОКПО – 48607312, ОКОПФ – 75403, ОКТМО – 07707000106, ОКФС – 14.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Функции и полномочия учредителя Учреждения от имени Георгиевского городского округа осуществляются управлением образования и молодёжной политики администрации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является юридическим лицом, имеет самостоятельный баланс, обособленное имущество, лицевые счета, открытые в установленном законодательством Российской Федерации и нормативными правовыми актами Георгиевского городского округа Ставропольского края порядке, печать и штампы со своим наименованием, бланки и другие реквизиты юридического лица.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Проверка проведена с ведома заведующего муниципального бюджетного  дошкольного образовательного учреждения «Детский сад № 16 «Одуванчик» станицы Александрийской» Адамян Д.И., назначенной приказом отдела образования администрации Георгиевского муниципального района Ставропольского края от 07.12.2010 г. № 267-л/с.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 проведении плановой проверки Заказчику направлено уведомление от 22.04.2021 № 1587, которое вручено лично заведующему Адамян Д.И. 22 апреля 2021 года.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szCs w:val="28"/>
        </w:rPr>
        <w:t>Проверка проводилась выборочным способом по представленным документам, а также на основании информации, размещенной в открытом доступе на официальном сайте в единой информационной системы в сфере закупок zakupki.gov.ru.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/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Проверкой установлено следующее: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 xml:space="preserve">- в своей деятельности Субъект проверки руководствовался Уставом муниципального бюджетного дошкольного образовательного учреждения «Детский сад № 16 «Одуванчик» станицы Александрийской», утвержденным постановлением администрации Георгиевского городского округа Ставропольского края от 23.01.2020 г. № 101;  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- в соответствии с ч.2 ст.38 Закона № 44-ФЗ обязанности контрактного управляющего были возложены: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- в 2019 году на воспитателя Назарову О.В. на основании приказа МБДОУ «Детский сад № 16 «Одуванчик» станицы Александрийской»  от 09.01.2020 г. № 18;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2020 году на  воспитателя Солонину В.Ю. на основании приказа МБДОУ «Детский сад № 16 «Одуванчик» станицы Александрийской»  от 11.01.2021 г. № 19;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соответствии с ч.6 ст.38 Закона № 44-ФЗ контрактный управляющий (Солонина В.Ю.) прошёл повышение квалификации по дополнительной профессиональной программе «Контрактная система в сфере закупок товаров, работ и услуг» в объеме 160 часов (удостоверение от 10.12.2020 г. № 03505).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закупках Субъекта проверки в соответствии с действующим законодательством содержится в Единой информационной системе в сфере закупок www.zakupki.gov.ru (далее - официальный сайт).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Закупки товаров, работ, услуг в проверяемом периоде конкурентными способами не осуществлялись.</w:t>
      </w:r>
    </w:p>
    <w:p>
      <w:pPr>
        <w:pStyle w:val="FR1"/>
        <w:spacing w:before="0" w:after="0"/>
        <w:ind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  <w:t>Формирование, утверждение и ведение плана-графика</w:t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  <w:t>В нарушение ч.1 ст.16 Закона № 44-ФЗ были осуществлены закупки, не предусмотренные планом-графиком. План – график на 2020  финансовый год и плановый период 2021 и 2022 годов размещен 15.01.2020 г., договоры заключенные раньше срока размещения плана - графика на 2020 год: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09.01.2020 г. № 2 с СА «Птицефабрика Кумская» на сумму     4 125,00 руб.;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- договор от 09.01.2020 г. № 399762 с ООО «Бригантина Плюс» на сумму 54 681,40 руб.;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- договор от 08.01.2020 г. № 398207 с ИП Кочаров Р.М. на сумму 27 520,00 руб.;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09.01.2020 г. № 1 с ИП Саркисян Р.Ю. на сумму 7 907,00 руб.;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09.01.2020 г. № 398205 с ИП Цаканян А.С. на сумму 29 711,75 руб.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Планы-графики закупок в проверяемом периоде размещались в течение десяти рабочих дней после доведения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 Нарушений не выявлено.</w:t>
      </w:r>
    </w:p>
    <w:p>
      <w:pPr>
        <w:pStyle w:val="FR1"/>
        <w:spacing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Закупка у субъектов малого предпринимательства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ч.1 ст.30 Закона № 44-ФЗ и Правил подготовки отчета об объеме закупок у субъектов малого предпринимательства и социально-ориентированных  некоммерческих организаций, его размещения в единой системе, утвержденных постановлением Правительства Российской Федерации от 17.03.2015 г. № 238 (в ред. От 19.11.2016 г.), 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закупок, рассчитанного с учетом ч.1.1 ст. 30 Закона № 44-ФЗ.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объеме закупок у субъектов малого предпринимательства, социально ориентированных некоммерческих организаций в соответствии со с ч.4 ст.30 Закона № 44-ФЗ должен быть размещен до 01 апреля года, следующего за отчетным годом.</w:t>
      </w:r>
    </w:p>
    <w:p>
      <w:pPr>
        <w:pStyle w:val="Normal"/>
        <w:autoSpaceDE w:val="false"/>
        <w:ind w:firstLine="709"/>
        <w:jc w:val="both"/>
        <w:rPr/>
      </w:pPr>
      <w:r>
        <w:rPr>
          <w:sz w:val="28"/>
          <w:szCs w:val="28"/>
        </w:rPr>
        <w:t>В соответствии с ч.4 ст.30 Закона № 44-ФЗ Субъект проверки разместил на официальном сайте отчет об объеме закупок у субъектов малого предпринимательства за 2020 год своевременно до 31.03.2021 г.</w:t>
      </w:r>
    </w:p>
    <w:p>
      <w:pPr>
        <w:pStyle w:val="Normal"/>
        <w:keepNext w:val="true"/>
        <w:spacing w:before="100" w:after="0"/>
        <w:ind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spacing w:before="100" w:after="0"/>
        <w:ind w:firstLine="709"/>
        <w:rPr>
          <w:sz w:val="20"/>
          <w:szCs w:val="20"/>
        </w:rPr>
      </w:pPr>
      <w:r>
        <w:rPr>
          <w:sz w:val="28"/>
          <w:szCs w:val="28"/>
        </w:rPr>
        <w:t>Гражданско-правовые договоры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Закупки товаров, работ, услуг в проверяемом периоде осуществлялись путем закупки у единственного поставщика (исполнителя, подрядчика). За период с 01.01.2020 по 31.12.2020 заключено 72 контракта (договора) на  сумму 1 220 445,57 руб.,  с 01.01.2021 по 31.03.2021 -  26 контрактов (договоров) на сумму 882 868,79 руб.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Заказчиком с единственным поставщиком на основании п.4 и п.5 ч.1   ст. 93 Закона № 44-ФЗ заключены договоры, содержащие условия о сроках оплаты, не соответствующие требованиям ч.13.1 ст.34 Закона № 44-ФЗ. По данным договорам срок оплаты выходит за пределы максимально допустимого срока (Таблица 1).</w:t>
      </w:r>
    </w:p>
    <w:p>
      <w:pPr>
        <w:pStyle w:val="FR1"/>
        <w:spacing w:lineRule="auto" w:line="256" w:before="0" w:after="0"/>
        <w:ind w:firstLine="426"/>
        <w:jc w:val="left"/>
        <w:rPr>
          <w:szCs w:val="28"/>
        </w:rPr>
      </w:pPr>
      <w:r>
        <w:rPr>
          <w:szCs w:val="28"/>
        </w:rPr>
        <w:t xml:space="preserve">   </w:t>
      </w:r>
    </w:p>
    <w:tbl>
      <w:tblPr>
        <w:tblW w:w="9190" w:type="dxa"/>
        <w:jc w:val="left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0"/>
        <w:gridCol w:w="4263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Дата и номер заключенного договора, контрагент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Условия договора о сроке оплаты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56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Договор от 31.01.2020 № 5 с  отделением Георгиевского ГО СК СКО ВДПО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FR1"/>
              <w:spacing w:lineRule="auto" w:line="240" w:before="0" w:after="0"/>
              <w:jc w:val="left"/>
              <w:rPr>
                <w:szCs w:val="28"/>
              </w:rPr>
            </w:pPr>
            <w:r>
              <w:rPr>
                <w:szCs w:val="28"/>
              </w:rPr>
              <w:t>в течение 30 рабочих дней  после подписания акта выполненных работ</w:t>
            </w:r>
          </w:p>
        </w:tc>
      </w:tr>
    </w:tbl>
    <w:p>
      <w:pPr>
        <w:pStyle w:val="Normal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ч.1 ст.23 Закона №44-ФЗ в проверяемых периодах не указаны идентификационные коды закупок в следующих договорах: от 20.01.2020 № 000507, от 20.01.2020 № ЧС01/2001/2020, от  27.01.2020 № 26, от 27.01.2020 № 04, от 23.11.2020 № 130, от 12.11.2020 № 220, от 04.02.2021       № 179.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нарушении ч.13.1 ст.34 Закона № 44-ФЗ, ст.190, 191 Гражданского кодекса Российской Федерации, Заказчиком при заключении договора № 0631 от 03.02.2020 г. на проведение дератизационных, дезинфекционных и дезинсекционных работ не указаны конкретные сроки оплаты выполненных работ (оказанных услуг).</w:t>
      </w:r>
    </w:p>
    <w:p>
      <w:pPr>
        <w:pStyle w:val="FR1"/>
        <w:spacing w:lineRule="auto" w:line="256" w:before="0" w:after="0"/>
        <w:ind w:firstLine="426"/>
        <w:jc w:val="left"/>
        <w:rPr>
          <w:szCs w:val="28"/>
        </w:rPr>
      </w:pPr>
      <w:r>
        <w:rPr>
          <w:szCs w:val="28"/>
        </w:rPr>
      </w:r>
    </w:p>
    <w:p>
      <w:pPr>
        <w:pStyle w:val="FR1"/>
        <w:spacing w:lineRule="auto" w:line="256" w:before="0" w:after="0"/>
        <w:ind w:firstLine="426"/>
        <w:jc w:val="left"/>
        <w:rPr>
          <w:szCs w:val="28"/>
        </w:rPr>
      </w:pPr>
      <w:r>
        <w:rPr>
          <w:szCs w:val="28"/>
        </w:rPr>
      </w:r>
    </w:p>
    <w:p>
      <w:pPr>
        <w:pStyle w:val="Style30"/>
        <w:rPr/>
      </w:pPr>
      <w:r>
        <w:rPr/>
        <w:t>ВЫВОДЫ:</w:t>
      </w:r>
    </w:p>
    <w:p>
      <w:pPr>
        <w:pStyle w:val="Style30"/>
        <w:rPr/>
      </w:pPr>
      <w:r>
        <w:rPr/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/>
        <w:t xml:space="preserve"> </w:t>
      </w:r>
      <w:r>
        <w:rPr/>
        <w:t xml:space="preserve">Признать Субъект проверки – </w:t>
      </w:r>
      <w:r>
        <w:rPr>
          <w:szCs w:val="28"/>
        </w:rPr>
        <w:t>муниципальное бюджетное  дошкольное образовательное учреждение «Детский сад № 16 «Одуванчик» станицы Александрийской»</w:t>
      </w:r>
      <w:r>
        <w:rPr/>
        <w:t>, нарушившим: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1. </w:t>
      </w:r>
      <w:r>
        <w:rPr>
          <w:szCs w:val="28"/>
        </w:rPr>
        <w:t>ч.1 ст.16 Закона № 44-ФЗ (были осуществлены закупки, не предусмотренные планом-графиком);</w:t>
      </w: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2. ч.1 ст. 23 Закона № 44-ФЗ (в договорах не указан идентификационный код закупки)</w:t>
      </w:r>
      <w:r>
        <w:rPr>
          <w:sz w:val="28"/>
          <w:szCs w:val="28"/>
        </w:rPr>
        <w:t>;</w:t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>
          <w:rFonts w:eastAsia="Times New Roman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3. </w:t>
      </w:r>
      <w:r>
        <w:rPr>
          <w:szCs w:val="28"/>
        </w:rPr>
        <w:t>ст. 190, 191 Гражданского кодекса Российской Федерации, ч.13.1 ст.34 Федерального Закона № 44-ФЗ (в договоре не указаны конкретные сроки выполненных работ (оказанных услуг)).</w:t>
      </w: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Рекомендации по устранению выявленных нарушений, принятию мер по недопущению аналогичных нарушений в будущем: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1. Соблюдать требования законодательства Российской Федерации в сфере закупок.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2. Проанализировать выявленные проверкой нарушения законодательства РФ и иных нормативно-правовых актов о контрактной системе и принять дополнительные меры по недопущению их в дальнейшей работе.</w:t>
      </w:r>
    </w:p>
    <w:p>
      <w:pPr>
        <w:pStyle w:val="Western"/>
        <w:spacing w:lineRule="auto" w:line="240" w:before="0" w:after="0"/>
        <w:jc w:val="both"/>
        <w:rPr/>
      </w:pPr>
      <w:r>
        <w:rPr/>
      </w:r>
    </w:p>
    <w:p>
      <w:pPr>
        <w:pStyle w:val="Normal"/>
        <w:autoSpaceDE w:val="false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лицо, проводившее плановую проверку: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образования и молодёжной политики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Георгиевского 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                                         Н.Г.Захарова</w:t>
      </w:r>
    </w:p>
    <w:p>
      <w:pPr>
        <w:pStyle w:val="FR1"/>
        <w:spacing w:lineRule="auto" w:line="256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1"/>
        <w:spacing w:lineRule="auto" w:line="256" w:before="0" w:after="0"/>
        <w:ind w:firstLine="42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Один экземпляр акта на __ листах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получил (а): _______________________________________________________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(должность, ФИО, подпись)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«___» ____________ 2021 г.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709" w:header="708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lang w:val="ru-RU"/>
      </w:rPr>
    </w:pPr>
    <w:r>
      <w:rPr>
        <w:lang w:val="ru-RU"/>
      </w:rPr>
    </w:r>
  </w:p>
  <w:p>
    <w:pPr>
      <w:pStyle w:val="Style26"/>
      <w:rPr>
        <w:lang w:val="ru-RU"/>
      </w:rPr>
    </w:pPr>
    <w:r>
      <w:rPr>
        <w:lang w:val="ru-RU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b w:val="false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Style13">
    <w:name w:val="Основной шрифт абзаца"/>
    <w:qFormat/>
    <w:rPr/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pPr/>
    <w:rPr>
      <w:sz w:val="28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1">
    <w:name w:val="LO-Normal"/>
    <w:qFormat/>
    <w:pPr>
      <w:widowControl w:val="false"/>
      <w:bidi w:val="0"/>
      <w:spacing w:lineRule="auto" w:line="259" w:before="140" w:after="0"/>
      <w:ind w:left="600" w:right="600" w:hanging="0"/>
      <w:jc w:val="center"/>
    </w:pPr>
    <w:rPr>
      <w:rFonts w:ascii="Arial" w:hAnsi="Arial" w:eastAsia="Times New Roman" w:cs="Arial"/>
      <w:b/>
      <w:color w:val="auto"/>
      <w:sz w:val="18"/>
      <w:szCs w:val="20"/>
      <w:lang w:val="ru-RU" w:bidi="ar-SA" w:eastAsia="zh-CN"/>
    </w:rPr>
  </w:style>
  <w:style w:type="paragraph" w:styleId="FR1">
    <w:name w:val="FR1"/>
    <w:qFormat/>
    <w:pPr>
      <w:widowControl w:val="false"/>
      <w:bidi w:val="0"/>
      <w:spacing w:lineRule="auto" w:line="259" w:before="140" w:after="0"/>
      <w:jc w:val="center"/>
    </w:pPr>
    <w:rPr>
      <w:rFonts w:ascii="Times New Roman" w:hAnsi="Times New Roman" w:eastAsia="Times New Roman" w:cs="Times New Roman"/>
      <w:color w:val="auto"/>
      <w:sz w:val="28"/>
      <w:szCs w:val="20"/>
      <w:lang w:val="ru-RU" w:bidi="ar-SA" w:eastAsia="zh-CN"/>
    </w:rPr>
  </w:style>
  <w:style w:type="paragraph" w:styleId="Style23">
    <w:name w:val="Body Text Indent"/>
    <w:basedOn w:val="Normal"/>
    <w:pPr>
      <w:widowControl w:val="false"/>
      <w:autoSpaceDE w:val="false"/>
      <w:ind w:firstLine="708"/>
      <w:jc w:val="both"/>
    </w:pPr>
    <w:rPr>
      <w:color w:val="000000"/>
      <w:szCs w:val="22"/>
    </w:rPr>
  </w:style>
  <w:style w:type="paragraph" w:styleId="2">
    <w:name w:val="Основной текст 2"/>
    <w:basedOn w:val="Normal"/>
    <w:qFormat/>
    <w:pPr>
      <w:jc w:val="both"/>
    </w:pPr>
    <w:rPr>
      <w:sz w:val="28"/>
    </w:rPr>
  </w:style>
  <w:style w:type="paragraph" w:styleId="21">
    <w:name w:val="Основной текст с отступом 2"/>
    <w:basedOn w:val="Normal"/>
    <w:qFormat/>
    <w:pPr>
      <w:ind w:firstLine="708"/>
      <w:jc w:val="both"/>
    </w:pPr>
    <w:rPr/>
  </w:style>
  <w:style w:type="paragraph" w:styleId="ConsPlusNormal">
    <w:name w:val="ConsPlusNorma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8">
    <w:name w:val="Подзаголовок для информации об изменениях"/>
    <w:basedOn w:val="Normal"/>
    <w:next w:val="Normal"/>
    <w:qFormat/>
    <w:pPr>
      <w:autoSpaceDE w:val="false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Calibri" w:hAnsi="Calibri" w:eastAsia="Times New Roman" w:cs="Calibri"/>
      <w:color w:val="000000"/>
      <w:sz w:val="24"/>
      <w:szCs w:val="24"/>
      <w:lang w:val="ru-RU" w:bidi="ar-SA" w:eastAsia="zh-CN"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Calibri" w:cs="Courier New"/>
      <w:color w:val="auto"/>
      <w:sz w:val="20"/>
      <w:szCs w:val="20"/>
      <w:lang w:val="ru-RU" w:bidi="ar-SA" w:eastAsia="zh-CN"/>
    </w:rPr>
  </w:style>
  <w:style w:type="paragraph" w:styleId="Formattext">
    <w:name w:val="formattext"/>
    <w:basedOn w:val="Normal"/>
    <w:qFormat/>
    <w:pPr>
      <w:spacing w:before="100" w:after="100"/>
    </w:pPr>
    <w:rPr>
      <w:rFonts w:eastAsia="Calibri"/>
    </w:rPr>
  </w:style>
  <w:style w:type="paragraph" w:styleId="Style30">
    <w:name w:val="Для документов"/>
    <w:basedOn w:val="Normal"/>
    <w:qFormat/>
    <w:pPr>
      <w:widowControl w:val="false"/>
      <w:autoSpaceDE w:val="false"/>
      <w:ind w:firstLine="709"/>
      <w:jc w:val="both"/>
    </w:pPr>
    <w:rPr>
      <w:sz w:val="28"/>
      <w:szCs w:val="28"/>
    </w:rPr>
  </w:style>
  <w:style w:type="paragraph" w:styleId="Style31">
    <w:name w:val="Обычный (веб)"/>
    <w:basedOn w:val="Normal"/>
    <w:qFormat/>
    <w:pPr>
      <w:spacing w:lineRule="auto" w:line="276" w:before="100" w:after="142"/>
    </w:pPr>
    <w:rPr>
      <w:color w:val="000000"/>
    </w:rPr>
  </w:style>
  <w:style w:type="paragraph" w:styleId="Western">
    <w:name w:val="western"/>
    <w:basedOn w:val="Normal"/>
    <w:qFormat/>
    <w:pPr>
      <w:spacing w:lineRule="auto" w:line="276" w:before="100" w:after="142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hanging="0"/>
    </w:pPr>
    <w:rPr>
      <w:rFonts w:eastAsia="Calibri"/>
    </w:rPr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4649</TotalTime>
  <Application>LibreOffice/7.0.4.2$Windows_X86_64 LibreOffice_project/dcf040e67528d9187c66b2379df5ea4407429775</Application>
  <AppVersion>15.0000</AppVersion>
  <Pages>6</Pages>
  <Words>1409</Words>
  <Characters>9653</Characters>
  <CharactersWithSpaces>11205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2020-02-06T16:40:00Z</dcterms:created>
  <dc:creator>User</dc:creator>
  <dc:description/>
  <cp:keywords> </cp:keywords>
  <dc:language>ru-RU</dc:language>
  <cp:lastModifiedBy>ECO</cp:lastModifiedBy>
  <cp:lastPrinted>2021-05-18T14:44:00Z</cp:lastPrinted>
  <dcterms:modified xsi:type="dcterms:W3CDTF">2021-06-03T17:40:00Z</dcterms:modified>
  <cp:revision>242</cp:revision>
  <dc:subject/>
  <dc:title>                                </dc:title>
</cp:coreProperties>
</file>