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Приложение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16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Требования к проведению школьного этапа всероссийской олимпиады школьников по </w:t>
      </w:r>
      <w:r>
        <w:rPr>
          <w:rFonts w:cs="Times New Roman" w:ascii="Times New Roman" w:hAnsi="Times New Roman"/>
          <w:b/>
          <w:sz w:val="24"/>
          <w:szCs w:val="24"/>
        </w:rPr>
        <w:t xml:space="preserve">основам безопасности жизнедеятельности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в 20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21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-20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22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учебном году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школьном этапе олимпиады на добровольной основе принимают индивидуальное участие обучающиеся 5-11 классов организаций, осуществляющих образовательную деятельность по образовательным программам основного общего и среднего общего образования.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Участники школьного этапа Олимпиады делятся на 4 возрастные группы: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а) первая возрастная группа – обучающиеся 5-6 классов общеобразовательных организаций;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б) вторая возрастная группа – обучающиеся 7-8 классов общеобразовательных организаций;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в) третья возрастная группа – обучающиеся 9 классов общеобразовательных организаций;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г) четвёртая возрастная группа – обучающиеся 10-11классов общеобразовательных организаций.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Участники школьного этапа олимпиады вправе выполнять олимпиадные задания, разработанные для более старших классов (возрастных групп) по отношению к тем, в которых они проходят обучение. В случае их прохождения на последующие этапы олимпиады, данные участники выполняют олимпиадные задания, разработанные для класса (возрастной группы), который они выбрали на школьном этапе олимпиады.</w:t>
      </w:r>
    </w:p>
    <w:p>
      <w:pPr>
        <w:pStyle w:val="Normal"/>
        <w:spacing w:lineRule="auto" w:line="240" w:before="0" w:after="0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Школьный этап Олимпиады включает в себя два тура:</w:t>
      </w:r>
    </w:p>
    <w:p>
      <w:pPr>
        <w:pStyle w:val="Normal"/>
        <w:tabs>
          <w:tab w:val="clear" w:pos="708"/>
          <w:tab w:val="left" w:pos="710" w:leader="none"/>
        </w:tabs>
        <w:spacing w:lineRule="auto" w:line="240" w:before="0" w:after="0"/>
        <w:ind w:firstLine="4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а) первый тур -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теоретический, </w:t>
      </w:r>
      <w:r>
        <w:rPr>
          <w:rFonts w:cs="Times New Roman" w:ascii="Times New Roman" w:hAnsi="Times New Roman"/>
          <w:sz w:val="24"/>
          <w:szCs w:val="24"/>
        </w:rPr>
        <w:t>определяющий уровень теоретической подготовки участников Олимпиады;</w:t>
      </w:r>
    </w:p>
    <w:p>
      <w:pPr>
        <w:pStyle w:val="Normal"/>
        <w:tabs>
          <w:tab w:val="clear" w:pos="708"/>
          <w:tab w:val="left" w:pos="71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б) второй тур - </w:t>
      </w:r>
      <w:r>
        <w:rPr>
          <w:rFonts w:cs="Times New Roman" w:ascii="Times New Roman" w:hAnsi="Times New Roman"/>
          <w:i/>
          <w:iCs/>
          <w:sz w:val="24"/>
          <w:szCs w:val="24"/>
        </w:rPr>
        <w:t>практический.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 xml:space="preserve">Первый теоретический тур </w:t>
      </w:r>
      <w:r>
        <w:rPr>
          <w:rFonts w:cs="Times New Roman" w:ascii="Times New Roman" w:hAnsi="Times New Roman"/>
          <w:sz w:val="24"/>
          <w:szCs w:val="24"/>
        </w:rPr>
        <w:t>необходимо проводить в помещениях, обеспечивающих комфортные условия для участников Олимпиады.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cs="Times New Roman" w:ascii="Times New Roman" w:hAnsi="Times New Roman"/>
          <w:spacing w:val="-8"/>
          <w:sz w:val="24"/>
          <w:szCs w:val="24"/>
        </w:rPr>
        <w:t>Каждому участнику должен быть предоставлен отдельный стол или парта.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Участники разных возрастных групп должны выполнять задания конкурса в разных аудиториях. В помещении (аудитории) и около него должно быть не менее чем по 1 дежурному.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 xml:space="preserve">Второй практический тур </w:t>
      </w:r>
      <w:r>
        <w:rPr>
          <w:rFonts w:cs="Times New Roman" w:ascii="Times New Roman" w:hAnsi="Times New Roman"/>
          <w:sz w:val="24"/>
          <w:szCs w:val="24"/>
        </w:rPr>
        <w:t>школьного этапа рекомендуется проводить только для участников средней и старшей возрастных групп.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Все участники практического тура должны иметь: допуск, заверенный медицинским работником; спортивную форму одежды в соответствии с погодными условиями. При выполнении практических заданий участниками, где это необходимо, помощниками судей организуется страховка.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организации и планирования практических заданий целесообразно организовать взаимодействие со специалистами Центров детско-юношеского туризма системы дополнительного образования детей, представителями местных органов управления ГОЧС, ГУВД, военных комиссариатов и воинских частей.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Среди участников состязаний должен осуществляться постоянный контроль за состоянием здоровья и предупреждение травматизма.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Олимпиадные задания теоретического тура школьного этапа Олимпиады состоят из двух частей: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а) первая часть – теоретическая, где участники выполняют теоретические задания в форме письменного ответа на вопросы;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 вторая часть – тестирование.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теоретическом туре школьного этапа Олимпиады разработаны задания, состоящие не менее чем из 4 вопросов, а также не менее 20 заданий в форме тестов, раскрывающих обязательное базовое содержание и требования к уровню подготовки выпускников основной и средней (полной) школы по основам безопасности жизнедеятельности, при этом уровень их сложности должен быть определен таким образом, чтобы, на их решение участник смог затратить в общей сложности не более 45 минут.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заданиях теоретического тура для участников младшей возрастной группы (обучающиеся 5-7 классов) представлены следующие тематические направления: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«Обеспечение личной безопасности в повседневной жизни»;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«Обеспечение личной безопасности в чрезвычайных ситуациях».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заданиях теоретического тура для участников средней возрастной группы (обучающиеся 8-9 классов) представлены следующие тематические направления: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«Обеспечение личной безопасности в повседневной жизни»;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567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«Обеспечение личной безопасности в чрезвычайных ситуациях».</w:t>
      </w:r>
    </w:p>
    <w:p>
      <w:pPr>
        <w:pStyle w:val="Style141"/>
        <w:widowControl/>
        <w:spacing w:lineRule="auto" w:line="240"/>
        <w:jc w:val="both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В заданиях теоретического тура для участников старшей возрастной группы (обучающиеся 10-11 классов) представлены следующие тематические направления:</w:t>
      </w:r>
    </w:p>
    <w:p>
      <w:pPr>
        <w:pStyle w:val="Style46"/>
        <w:widowControl/>
        <w:numPr>
          <w:ilvl w:val="0"/>
          <w:numId w:val="3"/>
        </w:numPr>
        <w:tabs>
          <w:tab w:val="clear" w:pos="708"/>
          <w:tab w:val="left" w:pos="730" w:leader="none"/>
        </w:tabs>
        <w:spacing w:lineRule="auto" w:line="240"/>
        <w:ind w:left="567" w:hanging="360"/>
        <w:jc w:val="both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«Обеспечение личной безопасности в повседневной жизни и в чрезвычайных ситуациях»;</w:t>
      </w:r>
    </w:p>
    <w:p>
      <w:pPr>
        <w:pStyle w:val="Style46"/>
        <w:widowControl/>
        <w:numPr>
          <w:ilvl w:val="0"/>
          <w:numId w:val="3"/>
        </w:numPr>
        <w:tabs>
          <w:tab w:val="clear" w:pos="708"/>
          <w:tab w:val="left" w:pos="730" w:leader="none"/>
        </w:tabs>
        <w:spacing w:lineRule="auto" w:line="240"/>
        <w:ind w:left="567" w:hanging="360"/>
        <w:jc w:val="both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«Государственная система обеспечения безопасности населения;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567" w:hanging="360"/>
        <w:contextualSpacing/>
        <w:jc w:val="both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«Основы обороны государства и воинская обязанность».</w:t>
      </w:r>
    </w:p>
    <w:p>
      <w:pPr>
        <w:pStyle w:val="Style131"/>
        <w:widowControl/>
        <w:spacing w:lineRule="auto" w:line="240"/>
        <w:ind w:firstLine="699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В тестовых заданиях целесообразно включаются известные в теории и практике обучения виды тестов:</w:t>
      </w:r>
    </w:p>
    <w:p>
      <w:pPr>
        <w:pStyle w:val="Style141"/>
        <w:widowControl/>
        <w:numPr>
          <w:ilvl w:val="0"/>
          <w:numId w:val="4"/>
        </w:numPr>
        <w:spacing w:lineRule="auto" w:line="240"/>
        <w:ind w:left="567" w:hanging="360"/>
        <w:jc w:val="both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с выбором правильного ответа;</w:t>
      </w:r>
    </w:p>
    <w:p>
      <w:pPr>
        <w:pStyle w:val="Style46"/>
        <w:widowControl/>
        <w:numPr>
          <w:ilvl w:val="0"/>
          <w:numId w:val="4"/>
        </w:numPr>
        <w:tabs>
          <w:tab w:val="clear" w:pos="708"/>
          <w:tab w:val="left" w:pos="730" w:leader="none"/>
        </w:tabs>
        <w:spacing w:lineRule="auto" w:line="240"/>
        <w:ind w:left="567" w:hanging="360"/>
        <w:jc w:val="both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без готового ответа, или тесты открытой формы, когда участник Олимпиады вписывает ответ самостоятельно в отведенном для этого месте;</w:t>
      </w:r>
    </w:p>
    <w:p>
      <w:pPr>
        <w:pStyle w:val="Style141"/>
        <w:widowControl/>
        <w:numPr>
          <w:ilvl w:val="0"/>
          <w:numId w:val="4"/>
        </w:numPr>
        <w:spacing w:lineRule="auto" w:line="240"/>
        <w:ind w:left="567" w:hanging="360"/>
        <w:jc w:val="both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на установление соответствия, в котором элементы одного множества требуется поставить в соответствие элементам другого множества;</w:t>
      </w:r>
    </w:p>
    <w:p>
      <w:pPr>
        <w:pStyle w:val="Style181"/>
        <w:widowControl/>
        <w:numPr>
          <w:ilvl w:val="0"/>
          <w:numId w:val="4"/>
        </w:numPr>
        <w:spacing w:lineRule="auto" w:line="240"/>
        <w:ind w:left="567" w:hanging="360"/>
        <w:rPr>
          <w:rStyle w:val="FontStyle56"/>
          <w:spacing w:val="-6"/>
          <w:sz w:val="24"/>
          <w:szCs w:val="24"/>
        </w:rPr>
      </w:pPr>
      <w:r>
        <w:rPr>
          <w:rStyle w:val="FontStyle56"/>
          <w:spacing w:val="-6"/>
          <w:sz w:val="24"/>
          <w:szCs w:val="24"/>
        </w:rPr>
        <w:t>на установление правильной последовательности, где требуется установить правильную последовательность действий, шагов, операций и др.</w:t>
      </w:r>
    </w:p>
    <w:p>
      <w:pPr>
        <w:pStyle w:val="Style181"/>
        <w:widowControl/>
        <w:numPr>
          <w:ilvl w:val="0"/>
          <w:numId w:val="4"/>
        </w:numPr>
        <w:spacing w:lineRule="auto" w:line="240"/>
        <w:ind w:left="567" w:hanging="360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тесты выбора, когда маскируется правильный ответ.</w:t>
      </w:r>
    </w:p>
    <w:p>
      <w:pPr>
        <w:pStyle w:val="Style25"/>
        <w:widowControl/>
        <w:tabs>
          <w:tab w:val="clear" w:pos="708"/>
          <w:tab w:val="left" w:pos="984" w:leader="none"/>
        </w:tabs>
        <w:spacing w:lineRule="auto" w:line="240"/>
        <w:ind w:firstLine="715"/>
        <w:jc w:val="both"/>
        <w:rPr/>
      </w:pPr>
      <w:r>
        <w:rPr>
          <w:rStyle w:val="FontStyle56"/>
          <w:sz w:val="24"/>
          <w:szCs w:val="24"/>
        </w:rPr>
        <w:t>Используются тестовые задания различных видов: словесные, знаковые, числовые, зрительно-пространственные (схемы, рисунки, графики, таблицы и др.)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практическом туре предусмотрены следующие задания: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 Для участников средней и старшей возрастных групп: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2 заданий по оказанию первой помощи пострадавшим;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2 заданий по выживанию в условиях природной среды;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2 заданий по действиям в чрезвычайных ситуациях природного и техногенного характера;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 Кроме того для участников старшей возрастной группы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2 заданий по основам военной службы.</w:t>
      </w:r>
    </w:p>
    <w:p>
      <w:pPr>
        <w:pStyle w:val="Style181"/>
        <w:widowControl/>
        <w:spacing w:lineRule="auto" w:line="240"/>
        <w:ind w:firstLine="706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Олимпиадные задания практического тура по выживанию в условиях природной среды, по действиям в чрезвычайных ситуациях природного и техногенного характера, а также по основам военной службы отвечают следующим общим требованиям:</w:t>
      </w:r>
    </w:p>
    <w:p>
      <w:pPr>
        <w:pStyle w:val="Style25"/>
        <w:widowControl/>
        <w:tabs>
          <w:tab w:val="clear" w:pos="708"/>
          <w:tab w:val="left" w:pos="970" w:leader="none"/>
        </w:tabs>
        <w:spacing w:lineRule="auto" w:line="240"/>
        <w:ind w:firstLine="715"/>
        <w:jc w:val="both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 xml:space="preserve">а) </w:t>
        <w:tab/>
        <w:t xml:space="preserve">в олимпиадные задания по выживанию в условиях природной среды в зависимости от места проведения тура включены общие для участников всех возрастных групп задания: </w:t>
      </w:r>
    </w:p>
    <w:p>
      <w:pPr>
        <w:pStyle w:val="Style181"/>
        <w:widowControl/>
        <w:numPr>
          <w:ilvl w:val="0"/>
          <w:numId w:val="7"/>
        </w:numPr>
        <w:spacing w:lineRule="auto" w:line="240"/>
        <w:ind w:left="0" w:firstLine="360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задания по ориентированию на местности и по карте (определение сторон горизонта или азимута на объект; движение по азимуту; движение в заданном направлении; движение по легенде; движение по обозначенному маршруту; расшифровка топографических знаков);</w:t>
      </w:r>
    </w:p>
    <w:p>
      <w:pPr>
        <w:pStyle w:val="Style181"/>
        <w:widowControl/>
        <w:numPr>
          <w:ilvl w:val="0"/>
          <w:numId w:val="7"/>
        </w:numPr>
        <w:spacing w:lineRule="auto" w:line="240"/>
        <w:ind w:left="0" w:firstLine="360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задания по организации жизнеобеспечения в условиях вынужденного автономного существования: укладка рюкзака; добывание огня без спичек; разжигание костра, кипячение воды; распознавание съедобных и ядовитых растений и грибов; подача сигналов бедствия; установка палатки;</w:t>
      </w:r>
    </w:p>
    <w:p>
      <w:pPr>
        <w:pStyle w:val="Style181"/>
        <w:widowControl/>
        <w:numPr>
          <w:ilvl w:val="0"/>
          <w:numId w:val="7"/>
        </w:numPr>
        <w:spacing w:lineRule="auto" w:line="240"/>
        <w:ind w:left="0" w:firstLine="360"/>
        <w:rPr>
          <w:rStyle w:val="FontStyle56"/>
          <w:sz w:val="24"/>
          <w:szCs w:val="24"/>
        </w:rPr>
      </w:pPr>
      <w:r>
        <w:rPr>
          <w:rStyle w:val="FontStyle56"/>
          <w:sz w:val="24"/>
          <w:szCs w:val="24"/>
        </w:rPr>
        <w:t>задания по преодолению препятствий без использования и с использованием специального страховочного снаряжения (переправа по горизонтальной веревке; переправа по горизонтальному бревну; переправа по наклонному бревну; переправа по качающимся перекладинам; движение по подвесному бревну; преодоление этапов «Бабочка», «Паутина», «Ромб»; преодоление заболоченного участка по кочкам с помощью жердей; движение по узкому лазу; вязка узлов;</w:t>
      </w:r>
    </w:p>
    <w:p>
      <w:pPr>
        <w:pStyle w:val="Style25"/>
        <w:widowControl/>
        <w:tabs>
          <w:tab w:val="clear" w:pos="708"/>
          <w:tab w:val="left" w:pos="970" w:leader="none"/>
        </w:tabs>
        <w:spacing w:lineRule="auto" w:line="240"/>
        <w:ind w:firstLine="715"/>
        <w:jc w:val="both"/>
        <w:rPr/>
      </w:pPr>
      <w:r>
        <w:rPr>
          <w:rStyle w:val="FontStyle56"/>
          <w:sz w:val="24"/>
          <w:szCs w:val="24"/>
        </w:rPr>
        <w:t>б)</w:t>
        <w:tab/>
        <w:t xml:space="preserve">в олимпиадные задания по действиям в чрезвычайных ситуациях природного и техногенного характера в зависимости от места проведения тура могут быть включены общие для участников средней и старшей возрастной групп задания: решение пожарно-тактической </w:t>
      </w:r>
      <w:r>
        <w:rPr/>
        <w:t>задачи; преодоление зоны радиоактивного заражения; действия в районе аварии с утечкой аварийно-химических опасных веществ; по применению средств индивидуальной и коллективной защиты; действия по спасению утопающего с помощью спасательного круга или «конца Александрова»; передвижение по местности с соблюдением правил дорожного движения и др.;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в) в олимпиадные задания по основам военной службы в зависимости от места проведения тура включаются задания только для обучающихся на ступени среднего (полного) общего образования: элементы строевой и начальной военной подготовки: неполная разборка и сборка модели автомата (АКМ, АК-74); снаряжение магазина автомата патронами; метание гранаты с места; выполнение строевых приемов в движении в строю и на месте; стрельба из пневматического оружия, определение званий рядового, сержантского и офицерского состава, символики видов и родов войск Вооруженных Сил Российской Федерации и др.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Описание необходимого материально-технического обеспечения для выполнения олимпиадных заданий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проведения практического тура, в каждом помещении, где выполняются олимпиадные задания по выполнению приемов оказания первой помощи пострадавшим организаторам необходимо предусмотреть следующее оборудование: роботы-тренажеры, при отсутствии роботов-тренажеров допускается наложение повязок и проведение иммобилизации конечностей на статистах; кровоостанавливающий жгут, транспортная шина, косынка, перевязочный материал, носилки, гипотермический пакет, таблетки анальгина (муляж), бутылка с водой.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выполнении олимпиадных заданий по выживанию в условиях природной среды, где предполагается индивидуальное преодоление участниками препятствий в экстремальной ситуации все участники должны иметь, спортивную одежду и обувь, компас, часы.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выполнении олимпиадных заданий по действиям в чрезвычайных ситуациях природного и техногенного характера организаторам необходимо предусмотреть: фильтрующие противогазы марок ГП-5, ГП-7 или их модификации; защитные костюмы ОЗК (Л-1); огнетушитель воздушно-пенный, порошковый и углекислотный; спасательный круг; спасательный «конец Александрова».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Олимпиадные задания по основам военной службы выполняются только старшеклассниками, учащимися 10-11 классов. Для их выполнения организаторам необходимо предусмотреть: муляжи гранат РГД-5 и Ф-1, модели массогабаритные автоматов Калашникова (АКМ, АК-74) для проведения конкурса по их неполной разборке и сборке, магазин и патроны для его снаряжения, пневматические винтовки и пули к ним для выполнения стрельбы, мишени, электронный тир (при необходимости) и др.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Приведенный перечень средств оснащения для проведения практического тура школьного этапа Олимпиады может быть изменен в зависимости от места его проведения и содержания олимпиадных заданий.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Критерии и методики оценивания выполненных олимпиадных заданий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Методики оценивания олимпиадных заданий: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всем теоретическим и практическим заданиям начисление баллов производить целыми, а не дробными числами;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максимальных баллов за задания теоретического тура устанавливается в зависимости от уровня сложности задания, за задания одного уровня сложности начисляется одинаковые максимальные баллы;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результат оценивается путем простого сложения баллов, полученных участниками за каждое теоретическое и практическое задание.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Максимальная оценка по итогам выполнения заданий не более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 xml:space="preserve">00 баллов (теоретический тур не более 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0 баллов, практический тур не более 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0 баллов).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Например, если оценивать выполнение каждого теоретического вопроса максимальной оценкой не более 10 баллов, а каждого тестового задания не более </w:t>
      </w:r>
      <w:r>
        <w:rPr>
          <w:rFonts w:cs="Times New Roman" w:ascii="Times New Roman" w:hAnsi="Times New Roman"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 xml:space="preserve"> баллов, общий балл по теоретическому туру составит не более 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0 баллов. Оценивая выполнение каждого практического задания по оказанию первой помощи пострадавшим максимальной оценкой не более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 xml:space="preserve">0 баллов; каждого практического задания по выживанию в условиях природной среды максимальной оценкой не более 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баллов; каждого практического задания по действиям в чрезвычайных ситуациях природного и техногенного характера максимальной оценкой не более 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баллов; каждого практического задания по основам военной службы максимальной оценкой не более </w:t>
      </w:r>
      <w:r>
        <w:rPr>
          <w:rFonts w:cs="Times New Roman" w:ascii="Times New Roman" w:hAnsi="Times New Roman"/>
          <w:sz w:val="24"/>
          <w:szCs w:val="24"/>
        </w:rPr>
        <w:t>10</w:t>
      </w:r>
      <w:r>
        <w:rPr>
          <w:rFonts w:cs="Times New Roman" w:ascii="Times New Roman" w:hAnsi="Times New Roman"/>
          <w:sz w:val="24"/>
          <w:szCs w:val="24"/>
        </w:rPr>
        <w:t xml:space="preserve"> баллов, получим общий балл по практическому туру - 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0 баллов. Таким образом, для участников младшей возрастной группы максимальный результат составит 100 баллов, для участников средней возрастной группы максимальный результат составит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 xml:space="preserve">00 баллов,  для обучающихся на ступени среднего общего образования (старшая возрастная группа) максимальный результат составит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00 баллов.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333333"/>
          <w:sz w:val="24"/>
          <w:szCs w:val="24"/>
          <w:highlight w:val="yellow"/>
        </w:rPr>
      </w:pPr>
      <w:r>
        <w:rPr>
          <w:rFonts w:cs="Times New Roman" w:ascii="Times New Roman" w:hAnsi="Times New Roman"/>
          <w:b/>
          <w:bCs/>
          <w:color w:val="333333"/>
          <w:sz w:val="24"/>
          <w:szCs w:val="24"/>
          <w:highlight w:val="yellow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333333"/>
          <w:sz w:val="24"/>
          <w:szCs w:val="24"/>
          <w:highlight w:val="yellow"/>
        </w:rPr>
      </w:pPr>
      <w:r>
        <w:rPr>
          <w:rFonts w:cs="Times New Roman" w:ascii="Times New Roman" w:hAnsi="Times New Roman"/>
          <w:b/>
          <w:bCs/>
          <w:color w:val="333333"/>
          <w:sz w:val="24"/>
          <w:szCs w:val="24"/>
          <w:highlight w:val="yellow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333333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333333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682e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56" w:customStyle="1">
    <w:name w:val="Font Style56"/>
    <w:uiPriority w:val="99"/>
    <w:qFormat/>
    <w:rsid w:val="00c7780b"/>
    <w:rPr>
      <w:rFonts w:ascii="Times New Roman" w:hAnsi="Times New Roman" w:cs="Times New Roman"/>
      <w:sz w:val="22"/>
      <w:szCs w:val="22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Times New Roman" w:hAnsi="Times New Roman"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ListParagraph">
    <w:name w:val="List Paragraph"/>
    <w:basedOn w:val="Normal"/>
    <w:uiPriority w:val="34"/>
    <w:qFormat/>
    <w:rsid w:val="00c7780b"/>
    <w:pPr>
      <w:spacing w:before="0" w:after="200"/>
      <w:ind w:left="720" w:hanging="0"/>
      <w:contextualSpacing/>
    </w:pPr>
    <w:rPr>
      <w:rFonts w:ascii="Calibri" w:hAnsi="Calibri" w:eastAsia="Calibri" w:cs="Times New Roman"/>
      <w:lang w:eastAsia="en-US"/>
    </w:rPr>
  </w:style>
  <w:style w:type="paragraph" w:styleId="Style131" w:customStyle="1">
    <w:name w:val="Style13"/>
    <w:basedOn w:val="Normal"/>
    <w:uiPriority w:val="99"/>
    <w:qFormat/>
    <w:rsid w:val="00c7780b"/>
    <w:pPr>
      <w:widowControl w:val="false"/>
      <w:spacing w:lineRule="exact" w:line="415" w:before="0" w:after="0"/>
      <w:ind w:firstLine="566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46" w:customStyle="1">
    <w:name w:val="Style46"/>
    <w:basedOn w:val="Normal"/>
    <w:uiPriority w:val="99"/>
    <w:qFormat/>
    <w:rsid w:val="00c7780b"/>
    <w:pPr>
      <w:widowControl w:val="false"/>
      <w:spacing w:lineRule="exact" w:line="418" w:before="0" w:after="0"/>
      <w:ind w:firstLine="562"/>
    </w:pPr>
    <w:rPr>
      <w:rFonts w:ascii="Times New Roman" w:hAnsi="Times New Roman" w:eastAsia="Times New Roman" w:cs="Times New Roman"/>
      <w:sz w:val="24"/>
      <w:szCs w:val="24"/>
    </w:rPr>
  </w:style>
  <w:style w:type="paragraph" w:styleId="Style141" w:customStyle="1">
    <w:name w:val="Style14"/>
    <w:basedOn w:val="Normal"/>
    <w:uiPriority w:val="99"/>
    <w:qFormat/>
    <w:rsid w:val="00c7780b"/>
    <w:pPr>
      <w:widowControl w:val="false"/>
      <w:spacing w:lineRule="exact" w:line="326" w:before="0" w:after="0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Style181" w:customStyle="1">
    <w:name w:val="Style18"/>
    <w:basedOn w:val="Normal"/>
    <w:uiPriority w:val="99"/>
    <w:qFormat/>
    <w:rsid w:val="00c7780b"/>
    <w:pPr>
      <w:widowControl w:val="false"/>
      <w:spacing w:lineRule="exact" w:line="415" w:before="0" w:after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25" w:customStyle="1">
    <w:name w:val="Style25"/>
    <w:basedOn w:val="Normal"/>
    <w:uiPriority w:val="99"/>
    <w:qFormat/>
    <w:rsid w:val="00c7780b"/>
    <w:pPr>
      <w:widowControl w:val="false"/>
      <w:spacing w:lineRule="exact" w:line="415" w:before="0" w:after="0"/>
      <w:ind w:firstLine="710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LibreOffice/7.0.4.2$Windows_X86_64 LibreOffice_project/dcf040e67528d9187c66b2379df5ea4407429775</Application>
  <AppVersion>15.0000</AppVersion>
  <Pages>4</Pages>
  <Words>1430</Words>
  <Characters>10136</Characters>
  <CharactersWithSpaces>11493</CharactersWithSpaces>
  <Paragraphs>67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2018-08-27T08:03:00Z</dcterms:created>
  <dc:creator>89288284303</dc:creator>
  <dc:description/>
  <dc:language>ru-RU</dc:language>
  <cp:lastModifiedBy>Ирина Валентиновна Серякова</cp:lastModifiedBy>
  <cp:lastPrinted>2018-09-06T13:51:00Z</cp:lastPrinted>
  <dcterms:modified xsi:type="dcterms:W3CDTF">2021-09-20T15:48:15Z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